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D7392">
      <w:pPr>
        <w:rPr>
          <w:rFonts w:hint="default" w:ascii="Calibri" w:hAnsi="Calibri" w:cs="Calibri"/>
          <w:i/>
          <w:iCs/>
          <w:color w:val="FF0000"/>
          <w:sz w:val="24"/>
          <w:szCs w:val="24"/>
        </w:rPr>
      </w:pPr>
    </w:p>
    <w:p w14:paraId="48DE6865">
      <w:pPr>
        <w:rPr>
          <w:rFonts w:hint="default" w:ascii="Calibri" w:hAnsi="Calibri" w:cs="Calibri"/>
          <w:sz w:val="24"/>
          <w:szCs w:val="24"/>
        </w:rPr>
      </w:pPr>
    </w:p>
    <w:p w14:paraId="4BE78CCE">
      <w:pPr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FIŞA DISCIPLINEI</w:t>
      </w:r>
    </w:p>
    <w:p w14:paraId="0D1189E4">
      <w:pPr>
        <w:jc w:val="center"/>
        <w:rPr>
          <w:rFonts w:hint="default" w:ascii="Calibri" w:hAnsi="Calibri" w:cs="Calibri"/>
          <w:i/>
          <w:iCs/>
          <w:sz w:val="24"/>
          <w:szCs w:val="24"/>
          <w:lang w:val="ro-RO"/>
        </w:rPr>
      </w:pPr>
      <w:r>
        <w:rPr>
          <w:rFonts w:hint="default" w:ascii="Calibri" w:hAnsi="Calibri" w:cs="Calibri"/>
          <w:i/>
          <w:iCs/>
          <w:sz w:val="24"/>
          <w:szCs w:val="24"/>
          <w:lang w:val="ro-RO"/>
        </w:rPr>
        <w:t>Managementul companiei independente</w:t>
      </w:r>
    </w:p>
    <w:p w14:paraId="74E39524">
      <w:pPr>
        <w:jc w:val="center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Anul universitar 2025-2026</w:t>
      </w:r>
    </w:p>
    <w:p w14:paraId="1C1B9297">
      <w:pPr>
        <w:rPr>
          <w:rFonts w:hint="default" w:ascii="Calibri" w:hAnsi="Calibri" w:cs="Calibri"/>
          <w:color w:val="FF0000"/>
          <w:sz w:val="24"/>
          <w:szCs w:val="24"/>
        </w:rPr>
      </w:pPr>
    </w:p>
    <w:p w14:paraId="1F562DDC">
      <w:pPr>
        <w:spacing w:after="0"/>
        <w:ind w:left="142" w:hanging="567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1. Date despre program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3"/>
        <w:gridCol w:w="7088"/>
      </w:tblGrid>
      <w:tr w14:paraId="1CD85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482A05AC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0F286C8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Universitatea Babeș-Bolyai</w:t>
            </w:r>
          </w:p>
        </w:tc>
      </w:tr>
      <w:tr w14:paraId="399B6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3292550A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32D53D3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Teatru și Film</w:t>
            </w:r>
          </w:p>
        </w:tc>
      </w:tr>
      <w:tr w14:paraId="43CE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18DF18D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41C87F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Teatru</w:t>
            </w:r>
          </w:p>
        </w:tc>
      </w:tr>
      <w:tr w14:paraId="493D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71B99E8F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1.4.</w:t>
            </w:r>
            <w:r>
              <w:rPr>
                <w:rFonts w:hint="default" w:ascii="Calibri" w:hAnsi="Calibri" w:eastAsia="Times New Roman" w:cs="Calibri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7904D3C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Teatru și Artele Spectacolului</w:t>
            </w:r>
          </w:p>
        </w:tc>
      </w:tr>
      <w:tr w14:paraId="72BC0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4FFE98DB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1.5.</w:t>
            </w:r>
            <w:r>
              <w:rPr>
                <w:rFonts w:hint="default" w:ascii="Calibri" w:hAnsi="Calibri" w:eastAsia="Times New Roman" w:cs="Calibri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753AFAF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Licență</w:t>
            </w:r>
          </w:p>
        </w:tc>
      </w:tr>
      <w:tr w14:paraId="4CD8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32B1B19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65F6EC6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val="ro-RO" w:eastAsia="zh-CN"/>
                <w14:ligatures w14:val="none"/>
              </w:rPr>
            </w:pPr>
            <w:bookmarkStart w:id="0" w:name="_GoBack"/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Ar</w:t>
            </w: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val="ro-RO" w:eastAsia="zh-CN"/>
                <w14:ligatures w14:val="none"/>
              </w:rPr>
              <w:t>tele spectacolului ACTORIE/REGIE</w:t>
            </w:r>
            <w:bookmarkEnd w:id="0"/>
          </w:p>
        </w:tc>
      </w:tr>
      <w:tr w14:paraId="58422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209A700F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5FC9B56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Cu frecvență</w:t>
            </w:r>
          </w:p>
        </w:tc>
      </w:tr>
    </w:tbl>
    <w:p w14:paraId="7E319CF2">
      <w:pPr>
        <w:spacing w:after="0"/>
        <w:rPr>
          <w:rFonts w:hint="default" w:ascii="Calibri" w:hAnsi="Calibri" w:cs="Calibri"/>
          <w:b/>
          <w:sz w:val="24"/>
          <w:szCs w:val="24"/>
        </w:rPr>
      </w:pPr>
    </w:p>
    <w:p w14:paraId="505EF450">
      <w:pPr>
        <w:spacing w:after="0"/>
        <w:ind w:left="142" w:hanging="567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2. Date despre disciplină</w:t>
      </w:r>
    </w:p>
    <w:tbl>
      <w:tblPr>
        <w:tblStyle w:val="12"/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14:paraId="2CF9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577" w:type="dxa"/>
            <w:gridSpan w:val="3"/>
            <w:vAlign w:val="center"/>
          </w:tcPr>
          <w:p w14:paraId="65CF7967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6371442D">
            <w:pPr>
              <w:jc w:val="center"/>
              <w:rPr>
                <w:rFonts w:hint="default"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bCs/>
                <w:sz w:val="24"/>
                <w:szCs w:val="24"/>
              </w:rPr>
              <w:t>Casting</w:t>
            </w:r>
            <w:r>
              <w:rPr>
                <w:rFonts w:hint="default" w:ascii="Calibri" w:hAnsi="Calibri" w:cs="Calibri"/>
                <w:b/>
                <w:bCs/>
                <w:sz w:val="24"/>
                <w:szCs w:val="24"/>
                <w:lang w:val="ro-RO"/>
              </w:rPr>
              <w:t xml:space="preserve"> </w:t>
            </w:r>
            <w:r>
              <w:rPr>
                <w:rFonts w:hint="default" w:ascii="Calibri" w:hAnsi="Calibri" w:cs="Calibri"/>
                <w:b/>
                <w:bCs/>
                <w:sz w:val="24"/>
                <w:szCs w:val="24"/>
              </w:rPr>
              <w:t xml:space="preserve"> și marketing personal</w:t>
            </w:r>
          </w:p>
        </w:tc>
        <w:tc>
          <w:tcPr>
            <w:tcW w:w="1701" w:type="dxa"/>
            <w:vAlign w:val="center"/>
          </w:tcPr>
          <w:p w14:paraId="0B51516F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49ADD60E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  <w:t>VLR</w:t>
            </w: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val="ro-RO" w:eastAsia="zh-CN"/>
              </w:rPr>
              <w:t>8881</w:t>
            </w:r>
          </w:p>
        </w:tc>
      </w:tr>
      <w:tr w14:paraId="50290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27" w:type="dxa"/>
            <w:gridSpan w:val="4"/>
            <w:vAlign w:val="center"/>
          </w:tcPr>
          <w:p w14:paraId="04B726BC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155B5B8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Lector dr.  Oana-Corina Pocan</w:t>
            </w:r>
          </w:p>
        </w:tc>
      </w:tr>
      <w:tr w14:paraId="1C42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14:paraId="514703BF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14:paraId="2C67916D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Asist. dr.  Diana Antoaneta Aldea</w:t>
            </w:r>
          </w:p>
        </w:tc>
      </w:tr>
      <w:tr w14:paraId="5356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C3AAA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35FFA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D9F5">
            <w:pPr>
              <w:suppressAutoHyphens/>
              <w:spacing w:after="0" w:line="240" w:lineRule="auto"/>
              <w:ind w:right="-203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4134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D4061">
            <w:pPr>
              <w:suppressAutoHyphens/>
              <w:spacing w:after="0" w:line="240" w:lineRule="auto"/>
              <w:ind w:right="-288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2.6. Tipul </w:t>
            </w:r>
          </w:p>
          <w:p w14:paraId="0BEBB6F0">
            <w:pPr>
              <w:suppressAutoHyphens/>
              <w:spacing w:after="0" w:line="240" w:lineRule="auto"/>
              <w:ind w:right="-288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C5AA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CF89A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AA10DF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           D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C</w:t>
            </w:r>
          </w:p>
        </w:tc>
      </w:tr>
    </w:tbl>
    <w:p w14:paraId="2C44B4A9">
      <w:pPr>
        <w:suppressAutoHyphens/>
        <w:spacing w:after="0"/>
        <w:ind w:right="-765" w:firstLine="720"/>
        <w:rPr>
          <w:rFonts w:hint="default" w:ascii="Calibri" w:hAnsi="Calibri" w:cs="Calibri"/>
          <w:sz w:val="24"/>
          <w:szCs w:val="24"/>
        </w:rPr>
      </w:pPr>
    </w:p>
    <w:p w14:paraId="62D37E46">
      <w:pPr>
        <w:suppressAutoHyphens/>
        <w:spacing w:after="0" w:line="240" w:lineRule="auto"/>
        <w:ind w:right="-766" w:hanging="426"/>
        <w:rPr>
          <w:rFonts w:hint="default" w:ascii="Calibri" w:hAnsi="Calibri" w:eastAsia="Times New Roman" w:cs="Calibri"/>
          <w:sz w:val="24"/>
          <w:szCs w:val="24"/>
          <w:lang w:eastAsia="zh-CN"/>
        </w:rPr>
      </w:pPr>
      <w:r>
        <w:rPr>
          <w:rFonts w:hint="default" w:ascii="Calibri" w:hAnsi="Calibri" w:eastAsia="Times New Roman" w:cs="Calibri"/>
          <w:b/>
          <w:sz w:val="24"/>
          <w:szCs w:val="24"/>
          <w:lang w:eastAsia="zh-CN"/>
        </w:rPr>
        <w:t xml:space="preserve">3. Timpul total estimat </w:t>
      </w:r>
      <w:r>
        <w:rPr>
          <w:rFonts w:hint="default" w:ascii="Calibri" w:hAnsi="Calibri" w:eastAsia="Times New Roman" w:cs="Calibri"/>
          <w:sz w:val="24"/>
          <w:szCs w:val="24"/>
          <w:lang w:eastAsia="zh-CN"/>
        </w:rPr>
        <w:t>(ore pe semestru al activităților didactice)</w:t>
      </w:r>
    </w:p>
    <w:tbl>
      <w:tblPr>
        <w:tblStyle w:val="12"/>
        <w:tblpPr w:leftFromText="180" w:rightFromText="180" w:vertAnchor="text" w:tblpX="-408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14:paraId="4A9EB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14:paraId="66A03D30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C583AA6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3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14:paraId="4FCEAE79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14:paraId="47082C54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14:paraId="1F995A39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14:paraId="59271007">
            <w:pPr>
              <w:spacing w:after="0" w:line="240" w:lineRule="auto"/>
              <w:jc w:val="center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2</w:t>
            </w:r>
          </w:p>
        </w:tc>
      </w:tr>
      <w:tr w14:paraId="7DBFF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39" w:type="dxa"/>
            <w:vAlign w:val="center"/>
          </w:tcPr>
          <w:p w14:paraId="45B0A04F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2402CAB2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36</w:t>
            </w:r>
          </w:p>
        </w:tc>
        <w:tc>
          <w:tcPr>
            <w:tcW w:w="1842" w:type="dxa"/>
            <w:vAlign w:val="center"/>
          </w:tcPr>
          <w:p w14:paraId="1A26D9E5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  <w:t>din care: 3.5.</w:t>
            </w: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curs</w:t>
            </w:r>
            <w:r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5F81E7C1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977" w:type="dxa"/>
            <w:vAlign w:val="center"/>
          </w:tcPr>
          <w:p w14:paraId="15A4AE7C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69C6769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val="ro-RO" w:eastAsia="zh-CN"/>
              </w:rPr>
              <w:t>24</w:t>
            </w:r>
          </w:p>
        </w:tc>
      </w:tr>
      <w:tr w14:paraId="3D73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48E8F9AD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2CBF2EC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>ore</w:t>
            </w:r>
          </w:p>
        </w:tc>
      </w:tr>
      <w:tr w14:paraId="7367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80C34DF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b/>
                <w:sz w:val="24"/>
                <w:szCs w:val="24"/>
                <w:lang w:val="fr-FR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5755032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19</w:t>
            </w:r>
          </w:p>
        </w:tc>
      </w:tr>
      <w:tr w14:paraId="2288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57268309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B7DC203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</w:p>
        </w:tc>
      </w:tr>
      <w:tr w14:paraId="1089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7AFE3CD0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066FF7F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20</w:t>
            </w:r>
          </w:p>
        </w:tc>
      </w:tr>
      <w:tr w14:paraId="43689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7BEC72E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val="en-GB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3CEBF6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</w:p>
        </w:tc>
      </w:tr>
      <w:tr w14:paraId="0BED8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1EA4BCEB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30F040A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</w:p>
        </w:tc>
      </w:tr>
      <w:tr w14:paraId="3E70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31DD01EE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vAlign w:val="center"/>
          </w:tcPr>
          <w:p w14:paraId="069FE06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</w:p>
        </w:tc>
      </w:tr>
      <w:tr w14:paraId="15172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00D854A6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063407A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  <w:t>39</w:t>
            </w:r>
          </w:p>
        </w:tc>
      </w:tr>
      <w:tr w14:paraId="4AAC9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335EFDE9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5E3FA512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eastAsia="zh-CN"/>
              </w:rPr>
              <w:t xml:space="preserve">                                </w:t>
            </w:r>
            <w:r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  <w:t>75</w:t>
            </w:r>
          </w:p>
        </w:tc>
      </w:tr>
      <w:tr w14:paraId="376A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5A0D18F9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4383EEB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  <w:t>3</w:t>
            </w:r>
          </w:p>
        </w:tc>
      </w:tr>
    </w:tbl>
    <w:p w14:paraId="0AD00066">
      <w:pPr>
        <w:suppressAutoHyphens/>
        <w:spacing w:after="0" w:line="240" w:lineRule="auto"/>
        <w:ind w:left="-284"/>
        <w:jc w:val="both"/>
        <w:rPr>
          <w:rFonts w:hint="default" w:ascii="Calibri" w:hAnsi="Calibri" w:eastAsia="Times New Roman" w:cs="Calibri"/>
          <w:b/>
          <w:sz w:val="24"/>
          <w:szCs w:val="24"/>
          <w:lang w:eastAsia="zh-CN"/>
        </w:rPr>
      </w:pPr>
    </w:p>
    <w:p w14:paraId="68AC08BE">
      <w:pPr>
        <w:suppressAutoHyphens/>
        <w:spacing w:after="0" w:line="240" w:lineRule="auto"/>
        <w:ind w:left="-284" w:hanging="142"/>
        <w:jc w:val="both"/>
        <w:rPr>
          <w:rFonts w:hint="default" w:ascii="Calibri" w:hAnsi="Calibri" w:eastAsia="Times New Roman" w:cs="Calibri"/>
          <w:sz w:val="24"/>
          <w:szCs w:val="24"/>
          <w:lang w:eastAsia="zh-CN"/>
        </w:rPr>
      </w:pPr>
      <w:r>
        <w:rPr>
          <w:rFonts w:hint="default" w:ascii="Calibri" w:hAnsi="Calibri" w:eastAsia="Times New Roman" w:cs="Calibri"/>
          <w:b/>
          <w:sz w:val="24"/>
          <w:szCs w:val="24"/>
          <w:lang w:eastAsia="zh-CN"/>
        </w:rPr>
        <w:t xml:space="preserve">4. Precondiții </w:t>
      </w:r>
      <w:r>
        <w:rPr>
          <w:rFonts w:hint="default" w:ascii="Calibri" w:hAnsi="Calibri" w:eastAsia="Times New Roman" w:cs="Calibri"/>
          <w:sz w:val="24"/>
          <w:szCs w:val="24"/>
          <w:lang w:eastAsia="zh-CN"/>
        </w:rPr>
        <w:t>(acolo unde este cazul)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8647"/>
      </w:tblGrid>
      <w:tr w14:paraId="5C827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44" w:type="dxa"/>
            <w:vAlign w:val="center"/>
          </w:tcPr>
          <w:p w14:paraId="2AD84A00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14:paraId="469BA7D5">
            <w:pPr>
              <w:suppressAutoHyphens/>
              <w:spacing w:after="0" w:line="240" w:lineRule="auto"/>
              <w:ind w:left="72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Nu este cazul</w:t>
            </w:r>
          </w:p>
        </w:tc>
      </w:tr>
      <w:tr w14:paraId="12AB8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44" w:type="dxa"/>
            <w:vAlign w:val="center"/>
          </w:tcPr>
          <w:p w14:paraId="14C152E1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579538A9">
            <w:pPr>
              <w:suppressAutoHyphens/>
              <w:spacing w:after="0" w:line="240" w:lineRule="auto"/>
              <w:ind w:left="72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Nu este cazul</w:t>
            </w:r>
          </w:p>
        </w:tc>
      </w:tr>
    </w:tbl>
    <w:p w14:paraId="59F4F707">
      <w:pPr>
        <w:suppressAutoHyphens/>
        <w:spacing w:after="0" w:line="240" w:lineRule="auto"/>
        <w:ind w:right="-766" w:hanging="426"/>
        <w:rPr>
          <w:rFonts w:hint="default" w:ascii="Calibri" w:hAnsi="Calibri" w:eastAsia="Times New Roman" w:cs="Calibri"/>
          <w:b/>
          <w:sz w:val="24"/>
          <w:szCs w:val="24"/>
          <w:lang w:eastAsia="zh-CN"/>
        </w:rPr>
      </w:pPr>
    </w:p>
    <w:p w14:paraId="25B5A701">
      <w:pPr>
        <w:suppressAutoHyphens/>
        <w:spacing w:after="0" w:line="240" w:lineRule="auto"/>
        <w:ind w:hanging="426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eastAsia="Times New Roman" w:cs="Calibri"/>
          <w:b/>
          <w:sz w:val="24"/>
          <w:szCs w:val="24"/>
          <w:lang w:eastAsia="zh-CN"/>
        </w:rPr>
        <w:t xml:space="preserve">5. Condiții </w:t>
      </w:r>
      <w:r>
        <w:rPr>
          <w:rFonts w:hint="default" w:ascii="Calibri" w:hAnsi="Calibri" w:eastAsia="Times New Roman" w:cs="Calibri"/>
          <w:sz w:val="24"/>
          <w:szCs w:val="24"/>
          <w:lang w:eastAsia="zh-CN"/>
        </w:rPr>
        <w:t xml:space="preserve">(acolo </w:t>
      </w:r>
      <w:r>
        <w:rPr>
          <w:rFonts w:hint="default" w:ascii="Calibri" w:hAnsi="Calibri" w:cs="Calibri"/>
          <w:sz w:val="24"/>
          <w:szCs w:val="24"/>
        </w:rPr>
        <w:t>unde este cazul)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6044"/>
      </w:tblGrid>
      <w:tr w14:paraId="0BEF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5" w:type="dxa"/>
            <w:vAlign w:val="center"/>
          </w:tcPr>
          <w:p w14:paraId="44D49493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6FC3A632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</w:p>
          <w:p w14:paraId="4A956744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-Cursul practic se va desfășura față în față.</w:t>
            </w:r>
          </w:p>
          <w:p w14:paraId="75A61AD0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</w:pPr>
          </w:p>
          <w:p w14:paraId="1EB93FAA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- Infrastructură necesară:  sală de cur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s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; laptop,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 xml:space="preserve">internet,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videoproiector, ecran videoproiector</w:t>
            </w:r>
          </w:p>
          <w:p w14:paraId="0FB27219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EE0000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- Prezenţa la 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curs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 este obligatorie în proporţie de 8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0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%.  Nerespectarea acestei prevederi atrage dup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ă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 sine sustinerea examenului doar în sesiunea de restanțe. </w:t>
            </w:r>
          </w:p>
          <w:p w14:paraId="2A54A29F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</w:p>
        </w:tc>
      </w:tr>
      <w:tr w14:paraId="6CADB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5" w:type="dxa"/>
            <w:vAlign w:val="center"/>
          </w:tcPr>
          <w:p w14:paraId="7BEA9661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760A2119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62A4A1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Laboratorul practi</w:t>
            </w: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se va desfășura față în față.</w:t>
            </w:r>
          </w:p>
          <w:p w14:paraId="575257EE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- Infrastructură necesară:  sală de curs; laptop,</w:t>
            </w: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 xml:space="preserve"> internet, </w:t>
            </w: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videoproiector, ecran videoproiector</w:t>
            </w:r>
          </w:p>
          <w:p w14:paraId="2BDEC748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- Prezenţa la seminarii şi cursuri practice, este obligatorie în proporţie de 8</w:t>
            </w: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val="ro-RO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Calibri" w:hAnsi="Calibri" w:eastAsia="Times New Roman" w:cs="Calibri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%.  Nerespectarea acestei prevederi atrage dupa sine sustinerea examenului doar în sesiunea de restanțe. </w:t>
            </w:r>
          </w:p>
          <w:p w14:paraId="7197EEB6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</w:p>
        </w:tc>
      </w:tr>
    </w:tbl>
    <w:p w14:paraId="5F3E319F">
      <w:pPr>
        <w:spacing w:after="0"/>
        <w:ind w:hanging="425"/>
        <w:rPr>
          <w:rFonts w:hint="default" w:ascii="Calibri" w:hAnsi="Calibri" w:cs="Calibri"/>
          <w:b/>
          <w:sz w:val="24"/>
          <w:szCs w:val="24"/>
        </w:rPr>
      </w:pPr>
    </w:p>
    <w:p w14:paraId="70028FBA">
      <w:pPr>
        <w:spacing w:after="0"/>
        <w:ind w:hanging="425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6. Rezultatele învățării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9639"/>
      </w:tblGrid>
      <w:tr w14:paraId="5D00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</w:trPr>
        <w:tc>
          <w:tcPr>
            <w:tcW w:w="852" w:type="dxa"/>
            <w:textDirection w:val="btLr"/>
            <w:vAlign w:val="center"/>
          </w:tcPr>
          <w:p w14:paraId="2D50D326">
            <w:pPr>
              <w:spacing w:after="0" w:line="240" w:lineRule="auto"/>
              <w:ind w:left="113" w:right="113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09C9B28E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cunoaște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principiile de funcționare și organizare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ale unei companii independente în domeniul cultural și creativ.</w:t>
            </w:r>
          </w:p>
          <w:p w14:paraId="66CDB45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cunoaște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etapele de planificare strategică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pentru dezvoltarea sustenabilă a unei organizații artistice.</w:t>
            </w:r>
          </w:p>
          <w:p w14:paraId="2B78504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cunoaște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instrumentele de management financiar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necesare elaborării și administrării bugetelor.</w:t>
            </w:r>
          </w:p>
          <w:p w14:paraId="6521350C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eastAsia="SimSun" w:cs="Calibri"/>
                <w:sz w:val="24"/>
                <w:szCs w:val="24"/>
                <w:lang w:val="ro-RO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cunoaște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structurile și procesele de management al resurselor umane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într-o companie artistică.</w:t>
            </w:r>
          </w:p>
          <w:p w14:paraId="7D9AA60B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cunoaște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strategiile de comunicare, promovare și marketing cultural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adaptate sectorului independent.</w:t>
            </w:r>
          </w:p>
          <w:p w14:paraId="10C126F5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cunoaște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metodologiile de elaborare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  <w:lang w:val="ro-RO"/>
              </w:rPr>
              <w:t xml:space="preserve"> și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 xml:space="preserve"> implementare a proiectelor culturale</w:t>
            </w:r>
            <w:r>
              <w:rPr>
                <w:rFonts w:hint="default" w:ascii="Calibri" w:hAnsi="Calibri" w:cs="Calibri"/>
                <w:sz w:val="24"/>
                <w:szCs w:val="24"/>
              </w:rPr>
              <w:t>.</w:t>
            </w:r>
          </w:p>
          <w:p w14:paraId="218E9B95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1E8B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852" w:type="dxa"/>
            <w:textDirection w:val="btLr"/>
            <w:vAlign w:val="center"/>
          </w:tcPr>
          <w:p w14:paraId="6F1B9A7B">
            <w:pPr>
              <w:spacing w:after="0" w:line="240" w:lineRule="auto"/>
              <w:ind w:left="113" w:right="113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5D72A3B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este capabil să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elaboreze planuri strategice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pentru dezvoltarea unei companii independente în domeniul cultural.</w:t>
            </w:r>
          </w:p>
          <w:p w14:paraId="55B8B66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este capabil să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structureze și să administreze un buget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adaptat specificului activităților artistice și creative.</w:t>
            </w:r>
          </w:p>
          <w:p w14:paraId="3443283A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este capabil să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aleagă forma juridică potrivită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pentru o organizație independentă și să respecte cadrul legal aplicabil.</w:t>
            </w:r>
          </w:p>
          <w:p w14:paraId="17987B7D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ymbol" w:cs="Calibri"/>
                <w:sz w:val="24"/>
                <w:szCs w:val="24"/>
                <w:lang w:val="ro-RO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este capabil să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dezvolte strategii de comunicare și marketing cultural</w:t>
            </w:r>
            <w:r>
              <w:rPr>
                <w:rFonts w:hint="default" w:ascii="Calibri" w:hAnsi="Calibri" w:cs="Calibri"/>
                <w:sz w:val="24"/>
                <w:szCs w:val="24"/>
              </w:rPr>
              <w:t>, orientate către public și parteneri.</w:t>
            </w:r>
          </w:p>
          <w:p w14:paraId="440DCA8B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este capabil să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negocieze și să gestioneze parteneriate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cu instituții, organizații sau finanțatori.</w:t>
            </w:r>
          </w:p>
          <w:p w14:paraId="11024132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este capabil să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dezvolte modele de afaceri sustenabile</w:t>
            </w:r>
            <w:r>
              <w:rPr>
                <w:rFonts w:hint="default" w:ascii="Calibri" w:hAnsi="Calibri" w:cs="Calibri"/>
                <w:sz w:val="24"/>
                <w:szCs w:val="24"/>
              </w:rPr>
              <w:t>, adaptate specificului sectorului independent</w:t>
            </w:r>
          </w:p>
        </w:tc>
      </w:tr>
      <w:tr w14:paraId="380A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</w:trPr>
        <w:tc>
          <w:tcPr>
            <w:tcW w:w="852" w:type="dxa"/>
            <w:textDirection w:val="btLr"/>
            <w:vAlign w:val="center"/>
          </w:tcPr>
          <w:p w14:paraId="743E3E5A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Responsabilități</w:t>
            </w:r>
          </w:p>
          <w:p w14:paraId="12EAF244">
            <w:pPr>
              <w:spacing w:after="0" w:line="240" w:lineRule="auto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3DAA83F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are capacitatea de a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lucra eficient în echipe multidisciplinare</w:t>
            </w:r>
            <w:r>
              <w:rPr>
                <w:rFonts w:hint="default" w:ascii="Calibri" w:hAnsi="Calibri" w:cs="Calibri"/>
                <w:sz w:val="24"/>
                <w:szCs w:val="24"/>
              </w:rPr>
              <w:t>, asumându-și roluri și responsabilități diverse în cadrul proiectelor culturale.</w:t>
            </w:r>
          </w:p>
          <w:p w14:paraId="7F7D4387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are capacitatea de a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comunica clar și coerent</w:t>
            </w:r>
            <w:r>
              <w:rPr>
                <w:rFonts w:hint="default" w:ascii="Calibri" w:hAnsi="Calibri" w:cs="Calibri"/>
                <w:sz w:val="24"/>
                <w:szCs w:val="24"/>
              </w:rPr>
              <w:t>, oral și în scris, în contexte profesionale și instituționale variate.</w:t>
            </w:r>
          </w:p>
          <w:p w14:paraId="64A8D19F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are capacitatea de a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utiliza instrumente digitale și tehnologii moderne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în managementul și promovarea proiectelor culturale.</w:t>
            </w:r>
          </w:p>
          <w:p w14:paraId="5A5CE00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ymbol" w:cs="Calibri"/>
                <w:sz w:val="24"/>
                <w:szCs w:val="24"/>
              </w:rPr>
              <w:t>·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Studentul are capacitatea de a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valoriza diversitatea culturală și interdisciplinaritatea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în conceperea și implementarea proiectelor.</w:t>
            </w:r>
          </w:p>
        </w:tc>
      </w:tr>
    </w:tbl>
    <w:p w14:paraId="0CB2D6F9">
      <w:pPr>
        <w:spacing w:after="0"/>
        <w:rPr>
          <w:rFonts w:hint="default" w:ascii="Calibri" w:hAnsi="Calibri" w:cs="Calibri"/>
          <w:b/>
          <w:sz w:val="24"/>
          <w:szCs w:val="24"/>
        </w:rPr>
      </w:pPr>
    </w:p>
    <w:p w14:paraId="43EDC2C2">
      <w:pPr>
        <w:spacing w:after="0"/>
        <w:ind w:hanging="425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7. Obiectivele disciplinei</w:t>
      </w:r>
      <w:r>
        <w:rPr>
          <w:rFonts w:hint="default" w:ascii="Calibri" w:hAnsi="Calibri" w:cs="Calibri"/>
          <w:sz w:val="24"/>
          <w:szCs w:val="24"/>
        </w:rPr>
        <w:t xml:space="preserve"> (reieșind din grila competențelor acumulate)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7661"/>
      </w:tblGrid>
      <w:tr w14:paraId="1999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2830" w:type="dxa"/>
            <w:vAlign w:val="center"/>
          </w:tcPr>
          <w:p w14:paraId="13555E14">
            <w:pPr>
              <w:spacing w:after="0" w:line="240" w:lineRule="auto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4D06D15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Obiectivul general al disciplinei este de a oferi studenților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cunoștințele teoretice și competențele practice necesare pentru înființarea, dezvoltarea și gestionarea unei companii independente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în domeniul cultural și creativ, prin integrarea principiilor de management strategic, administrativ, financiar și artistic. Disciplina urmărește formarea unei gândiri antreprenoriale adaptate sectorului independent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.</w:t>
            </w:r>
          </w:p>
        </w:tc>
      </w:tr>
      <w:tr w14:paraId="7AAC6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2830" w:type="dxa"/>
            <w:vAlign w:val="center"/>
          </w:tcPr>
          <w:p w14:paraId="24C00CE1">
            <w:pPr>
              <w:spacing w:after="0" w:line="240" w:lineRule="auto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392512D6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Style w:val="19"/>
                <w:rFonts w:hint="default" w:ascii="Calibri" w:hAnsi="Calibri" w:cs="Calibri"/>
                <w:sz w:val="24"/>
                <w:szCs w:val="24"/>
                <w:lang w:val="ro-RO"/>
              </w:rPr>
              <w:t xml:space="preserve">-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Dezvoltarea capacității de înțelegere a specificului sectorului independent</w:t>
            </w:r>
            <w:r>
              <w:rPr>
                <w:rFonts w:hint="default" w:ascii="Calibri" w:hAnsi="Calibri" w:cs="Calibri"/>
                <w:sz w:val="24"/>
                <w:szCs w:val="24"/>
              </w:rPr>
              <w:t>, prin familiarizarea studenților cu modelele de organizare, funcționare și finanțare a companiilor culturale autonome.</w:t>
            </w:r>
          </w:p>
          <w:p w14:paraId="58E45708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Style w:val="19"/>
                <w:rFonts w:hint="default" w:ascii="Calibri" w:hAnsi="Calibri" w:cs="Calibri"/>
                <w:sz w:val="24"/>
                <w:szCs w:val="24"/>
                <w:lang w:val="ro-RO"/>
              </w:rPr>
              <w:t xml:space="preserve">-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Dobândirea cunoștințelor privind instrumentele de management financiar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, necesare pentru 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alcătuirea unui buget.</w:t>
            </w:r>
          </w:p>
          <w:p w14:paraId="76BAE33C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Style w:val="19"/>
                <w:rFonts w:hint="default" w:ascii="Calibri" w:hAnsi="Calibri" w:cs="Calibri"/>
                <w:sz w:val="24"/>
                <w:szCs w:val="24"/>
                <w:lang w:val="ro-RO"/>
              </w:rPr>
              <w:t xml:space="preserve">- </w:t>
            </w:r>
            <w:r>
              <w:rPr>
                <w:rStyle w:val="19"/>
                <w:rFonts w:hint="default" w:ascii="Calibri" w:hAnsi="Calibri" w:cs="Calibri"/>
                <w:sz w:val="24"/>
                <w:szCs w:val="24"/>
              </w:rPr>
              <w:t>Însușirea cadrului legal aplicabil companiilor independente</w:t>
            </w:r>
            <w:r>
              <w:rPr>
                <w:rFonts w:hint="default" w:ascii="Calibri" w:hAnsi="Calibri" w:cs="Calibri"/>
                <w:sz w:val="24"/>
                <w:szCs w:val="24"/>
              </w:rPr>
              <w:t>, cu accent pe forme juridice, fiscalitate, drepturi de autor și reglementări specifice sectorului cultural.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  </w:t>
            </w:r>
          </w:p>
        </w:tc>
      </w:tr>
    </w:tbl>
    <w:p w14:paraId="2B484396">
      <w:pPr>
        <w:rPr>
          <w:rFonts w:hint="default" w:ascii="Calibri" w:hAnsi="Calibri" w:cs="Calibri"/>
          <w:sz w:val="24"/>
          <w:szCs w:val="24"/>
        </w:rPr>
      </w:pPr>
    </w:p>
    <w:p w14:paraId="0E55977B">
      <w:pPr>
        <w:spacing w:after="0"/>
        <w:ind w:hanging="426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8. Conținuturi</w:t>
      </w:r>
    </w:p>
    <w:tbl>
      <w:tblPr>
        <w:tblStyle w:val="12"/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2835"/>
        <w:gridCol w:w="1985"/>
      </w:tblGrid>
      <w:tr w14:paraId="7CD57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04A0EFD3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>8.1 Curs</w:t>
            </w:r>
          </w:p>
        </w:tc>
        <w:tc>
          <w:tcPr>
            <w:tcW w:w="2835" w:type="dxa"/>
            <w:vAlign w:val="center"/>
          </w:tcPr>
          <w:p w14:paraId="2D1D3696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>Metode de predare</w:t>
            </w:r>
          </w:p>
        </w:tc>
        <w:tc>
          <w:tcPr>
            <w:tcW w:w="1985" w:type="dxa"/>
            <w:vAlign w:val="center"/>
          </w:tcPr>
          <w:p w14:paraId="54C3F687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>Observații</w:t>
            </w:r>
          </w:p>
        </w:tc>
      </w:tr>
      <w:tr w14:paraId="4C24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69804C94">
            <w:pPr>
              <w:pStyle w:val="1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rPr>
                <w:rFonts w:hint="default" w:ascii="Calibri" w:hAnsi="Calibri" w:eastAsia="Calibri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SimSun" w:cs="Calibri"/>
                <w:b w:val="0"/>
                <w:bCs w:val="0"/>
                <w:sz w:val="24"/>
                <w:szCs w:val="24"/>
              </w:rPr>
              <w:t xml:space="preserve"> Introducere în managementul companiilor independente</w:t>
            </w:r>
            <w:r>
              <w:rPr>
                <w:rFonts w:hint="default" w:ascii="Calibri" w:hAnsi="Calibri" w:eastAsia="Calibri" w:cs="Calibri"/>
                <w:b w:val="0"/>
                <w:bCs w:val="0"/>
                <w:color w:val="auto"/>
                <w:kern w:val="0"/>
                <w:sz w:val="24"/>
                <w:szCs w:val="24"/>
                <w14:ligatures w14:val="none"/>
              </w:rPr>
              <w:t xml:space="preserve">    </w:t>
            </w:r>
            <w:r>
              <w:rPr>
                <w:rFonts w:hint="default" w:ascii="Calibri" w:hAnsi="Calibri" w:eastAsia="Calibri" w:cs="Calibri"/>
                <w:b/>
                <w:bCs/>
                <w:color w:val="auto"/>
                <w:kern w:val="0"/>
                <w:sz w:val="24"/>
                <w:szCs w:val="24"/>
                <w14:ligatures w14:val="none"/>
              </w:rPr>
              <w:t xml:space="preserve">     </w:t>
            </w:r>
          </w:p>
          <w:p w14:paraId="799A82EE">
            <w:pPr>
              <w:pStyle w:val="1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Def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i</w:t>
            </w:r>
            <w:r>
              <w:rPr>
                <w:rFonts w:hint="default" w:ascii="Calibri" w:hAnsi="Calibri" w:cs="Calibri"/>
                <w:sz w:val="24"/>
                <w:szCs w:val="24"/>
              </w:rPr>
              <w:t>nirea conceptului de „companie independentă” în domeniul cultural</w:t>
            </w:r>
          </w:p>
          <w:p w14:paraId="79060ED0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Diferențe față de instituțiile publice de cultură</w:t>
            </w:r>
          </w:p>
          <w:p w14:paraId="2368BC7E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Calibri" w:cs="Calibri"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Tipuri de structuri independente: ONG, SRL, SA, PFA etc.</w:t>
            </w:r>
          </w:p>
        </w:tc>
        <w:tc>
          <w:tcPr>
            <w:tcW w:w="2835" w:type="dxa"/>
            <w:vAlign w:val="center"/>
          </w:tcPr>
          <w:p w14:paraId="721D0090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0413EAB2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Curs practic aplicat</w:t>
            </w:r>
          </w:p>
        </w:tc>
        <w:tc>
          <w:tcPr>
            <w:tcW w:w="1985" w:type="dxa"/>
            <w:vAlign w:val="center"/>
          </w:tcPr>
          <w:p w14:paraId="0B1F55A1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14:paraId="533E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2087512A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Exemple de bune practici din România și Europa</w:t>
            </w:r>
          </w:p>
          <w:p w14:paraId="39DA1B66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color w:val="auto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Sectorul cultural independent: provocări și oportunități actuale</w:t>
            </w:r>
          </w:p>
        </w:tc>
        <w:tc>
          <w:tcPr>
            <w:tcW w:w="2835" w:type="dxa"/>
            <w:vAlign w:val="center"/>
          </w:tcPr>
          <w:p w14:paraId="19C062DD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7F59F470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Curs practic aplicat</w:t>
            </w:r>
          </w:p>
        </w:tc>
        <w:tc>
          <w:tcPr>
            <w:tcW w:w="1985" w:type="dxa"/>
            <w:vAlign w:val="center"/>
          </w:tcPr>
          <w:p w14:paraId="39036B78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14:paraId="30E0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250B3E5E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Roluri și funcții într-o companie independe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nte</w:t>
            </w:r>
          </w:p>
          <w:p w14:paraId="0DD9AAA2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Dinamica echipei și cultură organizațională</w:t>
            </w:r>
          </w:p>
          <w:p w14:paraId="23CB83F8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color w:val="auto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Studiu de caz: structură organizațională a unei companii independente de teatru</w:t>
            </w:r>
          </w:p>
        </w:tc>
        <w:tc>
          <w:tcPr>
            <w:tcW w:w="2835" w:type="dxa"/>
            <w:vAlign w:val="center"/>
          </w:tcPr>
          <w:p w14:paraId="20D4B029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51928833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Curs practic aplicat</w:t>
            </w:r>
          </w:p>
        </w:tc>
        <w:tc>
          <w:tcPr>
            <w:tcW w:w="1985" w:type="dxa"/>
            <w:vAlign w:val="center"/>
          </w:tcPr>
          <w:p w14:paraId="7D7FF4D3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14:paraId="043A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555F838A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Viziune, misiune, valori, obiective strategice</w:t>
            </w:r>
          </w:p>
          <w:p w14:paraId="258BA7A7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Calibri" w:cs="Calibri"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Analiza SWOT</w:t>
            </w:r>
          </w:p>
        </w:tc>
        <w:tc>
          <w:tcPr>
            <w:tcW w:w="2835" w:type="dxa"/>
            <w:vAlign w:val="center"/>
          </w:tcPr>
          <w:p w14:paraId="58D02C01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79AB8270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Curs practic aplicat</w:t>
            </w:r>
          </w:p>
        </w:tc>
        <w:tc>
          <w:tcPr>
            <w:tcW w:w="1985" w:type="dxa"/>
            <w:vAlign w:val="center"/>
          </w:tcPr>
          <w:p w14:paraId="43B7FB8C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14:paraId="5B494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B88F6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Identificarea nevoilor publicului și comunității</w:t>
            </w:r>
          </w:p>
          <w:p w14:paraId="409B7C7A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Calibri" w:cs="Calibri"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Construirea unui plan strategic pe termen scurt și mediu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E8CC0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28032013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Curs practic aplicat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244E2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14:paraId="6DB3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D5B5B">
            <w:pPr>
              <w:spacing w:after="0" w:line="240" w:lineRule="auto"/>
              <w:rPr>
                <w:rFonts w:hint="default" w:ascii="Calibri" w:hAnsi="Calibri" w:eastAsia="Calibri" w:cs="Calibri"/>
                <w:color w:val="auto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Exercițiu practic: schițarea strategiei unei companii fictive</w:t>
            </w:r>
          </w:p>
          <w:p w14:paraId="260D4448">
            <w:pPr>
              <w:spacing w:after="0" w:line="240" w:lineRule="auto"/>
              <w:rPr>
                <w:rFonts w:hint="default" w:ascii="Calibri" w:hAnsi="Calibri" w:eastAsia="Calibri" w:cs="Calibri"/>
                <w:color w:val="auto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53CC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Curs practic aplicat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AA8D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14:paraId="6DD97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1" w:type="dxa"/>
            <w:gridSpan w:val="3"/>
            <w:vAlign w:val="center"/>
          </w:tcPr>
          <w:p w14:paraId="3326AD77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Bibliografie</w:t>
            </w:r>
          </w:p>
        </w:tc>
      </w:tr>
      <w:tr w14:paraId="291C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4B5D4232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8.2 Seminar / laborator</w:t>
            </w:r>
          </w:p>
        </w:tc>
        <w:tc>
          <w:tcPr>
            <w:tcW w:w="2835" w:type="dxa"/>
            <w:vAlign w:val="center"/>
          </w:tcPr>
          <w:p w14:paraId="53C15B98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Metode de predare</w:t>
            </w:r>
          </w:p>
        </w:tc>
        <w:tc>
          <w:tcPr>
            <w:tcW w:w="1985" w:type="dxa"/>
            <w:vAlign w:val="center"/>
          </w:tcPr>
          <w:p w14:paraId="3BE3B17B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Observații</w:t>
            </w:r>
          </w:p>
        </w:tc>
      </w:tr>
      <w:tr w14:paraId="5D39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14A8E830">
            <w:pPr>
              <w:spacing w:after="0" w:line="240" w:lineRule="auto"/>
              <w:rPr>
                <w:rFonts w:hint="default" w:ascii="Calibri" w:hAnsi="Calibri" w:eastAsia="SimSun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  <w:lang w:val="ro-RO"/>
              </w:rPr>
              <w:t>Ce este o companie independentă? Valorile și misiunea companiei.</w:t>
            </w:r>
          </w:p>
          <w:p w14:paraId="015546B2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</w:rPr>
              <w:t>Exemple de modele de business de succes în domeniu</w:t>
            </w:r>
          </w:p>
          <w:p w14:paraId="49FFB793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2512FA1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723257BE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105D0FF5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3FFBC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4E3BE41F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Accesul la fonduri nerambursabile pentru companii independente.</w:t>
            </w:r>
          </w:p>
          <w:p w14:paraId="655E342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Noțiuni de bază de buget cultura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l</w:t>
            </w:r>
          </w:p>
          <w:p w14:paraId="6F338D20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Structura unui buget (cheltuieli fixe/variabile, venituri)</w:t>
            </w:r>
          </w:p>
        </w:tc>
        <w:tc>
          <w:tcPr>
            <w:tcW w:w="2835" w:type="dxa"/>
            <w:vAlign w:val="center"/>
          </w:tcPr>
          <w:p w14:paraId="08ABA643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27BA0760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6B9C65E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464B0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12766C64">
            <w:pPr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</w:rPr>
              <w:t>Exercițiu aplicat: elaborarea unui buget simplu pentru un proiect cultural</w:t>
            </w:r>
          </w:p>
        </w:tc>
        <w:tc>
          <w:tcPr>
            <w:tcW w:w="2835" w:type="dxa"/>
            <w:vAlign w:val="center"/>
          </w:tcPr>
          <w:p w14:paraId="2C0452D1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6428E8F4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107DD46D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185A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70B28F8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Relația cu finanțatorii – reguli și cerințe de raportare</w:t>
            </w:r>
          </w:p>
          <w:p w14:paraId="48A8DEEB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Noțiuni de contabilitate de bază pentru managerii culturali</w:t>
            </w:r>
          </w:p>
        </w:tc>
        <w:tc>
          <w:tcPr>
            <w:tcW w:w="2835" w:type="dxa"/>
            <w:vAlign w:val="center"/>
          </w:tcPr>
          <w:p w14:paraId="1CE833CB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Introducere teoretică</w:t>
            </w:r>
          </w:p>
          <w:p w14:paraId="117CBBDC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Exerciţii practice </w:t>
            </w:r>
          </w:p>
        </w:tc>
        <w:tc>
          <w:tcPr>
            <w:tcW w:w="1985" w:type="dxa"/>
            <w:vAlign w:val="center"/>
          </w:tcPr>
          <w:p w14:paraId="793F9C45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3F436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6E9690A5">
            <w:pPr>
              <w:spacing w:after="0" w:line="240" w:lineRule="auto"/>
              <w:rPr>
                <w:rFonts w:hint="default" w:ascii="Calibri" w:hAnsi="Calibri" w:eastAsia="SimSun" w:cs="Calibri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</w:rPr>
              <w:t>Forme juridice disponibile pentru organizațiile independente</w:t>
            </w:r>
          </w:p>
          <w:p w14:paraId="72BC6C4C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</w:rPr>
              <w:t>Studiu de caz: înființarea unei entități juridice culturale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  <w:vAlign w:val="center"/>
          </w:tcPr>
          <w:p w14:paraId="4712DB4D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Exerciţii practice</w:t>
            </w:r>
          </w:p>
          <w:p w14:paraId="4193A488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81BD83C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2D32C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29526033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Construirea identității și a brandului organizațional</w:t>
            </w:r>
          </w:p>
          <w:p w14:paraId="701641EE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Strategii de comunicare online și offline</w:t>
            </w:r>
          </w:p>
          <w:p w14:paraId="20F3CF52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Exercițiu practic: elaborarea unui plan de comunicare pentru un eveniment</w:t>
            </w:r>
          </w:p>
        </w:tc>
        <w:tc>
          <w:tcPr>
            <w:tcW w:w="2835" w:type="dxa"/>
            <w:vAlign w:val="center"/>
          </w:tcPr>
          <w:p w14:paraId="20EC41F9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22ABA056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10BB3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671" w:type="dxa"/>
            <w:vAlign w:val="center"/>
          </w:tcPr>
          <w:p w14:paraId="7A74A8D0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Coceperea și redactarea unui proiect AFCN</w:t>
            </w:r>
          </w:p>
        </w:tc>
        <w:tc>
          <w:tcPr>
            <w:tcW w:w="2835" w:type="dxa"/>
            <w:vAlign w:val="center"/>
          </w:tcPr>
          <w:p w14:paraId="63364992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Exerciţii practice</w:t>
            </w:r>
          </w:p>
        </w:tc>
        <w:tc>
          <w:tcPr>
            <w:tcW w:w="1985" w:type="dxa"/>
            <w:vAlign w:val="center"/>
          </w:tcPr>
          <w:p w14:paraId="34B14BF1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19541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1" w:type="dxa"/>
            <w:gridSpan w:val="3"/>
            <w:vAlign w:val="center"/>
          </w:tcPr>
          <w:p w14:paraId="5A6408D7">
            <w:pPr>
              <w:tabs>
                <w:tab w:val="left" w:pos="2715"/>
              </w:tabs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Bibliografie</w:t>
            </w:r>
          </w:p>
          <w:p w14:paraId="517D8911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Culescu, Diana — </w:t>
            </w:r>
            <w:r>
              <w:rPr>
                <w:rStyle w:val="13"/>
                <w:rFonts w:hint="default" w:ascii="Calibri" w:hAnsi="Calibri" w:cs="Calibri"/>
                <w:sz w:val="24"/>
                <w:szCs w:val="24"/>
              </w:rPr>
              <w:t>Management cultural</w:t>
            </w:r>
            <w:r>
              <w:rPr>
                <w:rFonts w:hint="default" w:ascii="Calibri" w:hAnsi="Calibri" w:cs="Calibri"/>
                <w:sz w:val="24"/>
                <w:szCs w:val="24"/>
              </w:rPr>
              <w:t>, Editura Tritonic, București, 2013.</w:t>
            </w:r>
          </w:p>
          <w:p w14:paraId="2787E60C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Radu, Oana &amp; Iacob, Raluca (coord.) — </w:t>
            </w:r>
            <w:r>
              <w:rPr>
                <w:rStyle w:val="13"/>
                <w:rFonts w:hint="default" w:ascii="Calibri" w:hAnsi="Calibri" w:cs="Calibri"/>
                <w:sz w:val="24"/>
                <w:szCs w:val="24"/>
              </w:rPr>
              <w:t>Management cultural. Ghid practic pentru organizații culturale</w:t>
            </w:r>
            <w:r>
              <w:rPr>
                <w:rFonts w:hint="default" w:ascii="Calibri" w:hAnsi="Calibri" w:cs="Calibri"/>
                <w:sz w:val="24"/>
                <w:szCs w:val="24"/>
              </w:rPr>
              <w:t>, Editura ARCUB, București, 2014.</w:t>
            </w:r>
          </w:p>
          <w:p w14:paraId="2D75FBE6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Antonesei, Liviu — </w:t>
            </w:r>
            <w:r>
              <w:rPr>
                <w:rStyle w:val="13"/>
                <w:rFonts w:hint="default" w:ascii="Calibri" w:hAnsi="Calibri" w:cs="Calibri"/>
                <w:sz w:val="24"/>
                <w:szCs w:val="24"/>
              </w:rPr>
              <w:t>Politici culturale și management cultural</w:t>
            </w:r>
            <w:r>
              <w:rPr>
                <w:rFonts w:hint="default" w:ascii="Calibri" w:hAnsi="Calibri" w:cs="Calibri"/>
                <w:sz w:val="24"/>
                <w:szCs w:val="24"/>
              </w:rPr>
              <w:t>, Editura Polirom, Iași, 2004.</w:t>
            </w:r>
          </w:p>
          <w:p w14:paraId="4217BCCE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Iancu, Valentina (coord.) — </w:t>
            </w:r>
            <w:r>
              <w:rPr>
                <w:rStyle w:val="13"/>
                <w:rFonts w:hint="default" w:ascii="Calibri" w:hAnsi="Calibri" w:cs="Calibri"/>
                <w:sz w:val="24"/>
                <w:szCs w:val="24"/>
              </w:rPr>
              <w:t>Ghidul antreprenorului creativ</w:t>
            </w:r>
            <w:r>
              <w:rPr>
                <w:rFonts w:hint="default" w:ascii="Calibri" w:hAnsi="Calibri" w:cs="Calibri"/>
                <w:sz w:val="24"/>
                <w:szCs w:val="24"/>
              </w:rPr>
              <w:t>, Editura Fundației Culturale Meta, București, 2018.</w:t>
            </w:r>
          </w:p>
          <w:p w14:paraId="24283DF6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Ionescu, Irina, Managementul de proiect și elemente de marketing în artele spectacolului, Editura Eikon, București, 2018</w:t>
            </w:r>
          </w:p>
          <w:p w14:paraId="17AE6B39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SimSun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Ionescu, Irina, Marketing în artele spectacolului, Editura Eikon, București, 2020</w:t>
            </w:r>
          </w:p>
          <w:p w14:paraId="57145D3D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SimSun" w:cs="Calibri"/>
                <w:sz w:val="24"/>
                <w:szCs w:val="24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</w:rPr>
              <w:t xml:space="preserve">Grecu, Andreea — </w:t>
            </w:r>
            <w:r>
              <w:rPr>
                <w:rStyle w:val="13"/>
                <w:rFonts w:hint="default" w:ascii="Calibri" w:hAnsi="Calibri" w:eastAsia="SimSun" w:cs="Calibri"/>
                <w:sz w:val="24"/>
                <w:szCs w:val="24"/>
              </w:rPr>
              <w:t>Management cultural. Studii de caz și practici în România</w:t>
            </w:r>
            <w:r>
              <w:rPr>
                <w:rFonts w:hint="default" w:ascii="Calibri" w:hAnsi="Calibri" w:eastAsia="SimSun" w:cs="Calibri"/>
                <w:sz w:val="24"/>
                <w:szCs w:val="24"/>
              </w:rPr>
              <w:t>, Editura ASE, București, 2022.</w:t>
            </w:r>
          </w:p>
          <w:p w14:paraId="47A75021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SimSun" w:cs="Calibri"/>
                <w:sz w:val="24"/>
                <w:szCs w:val="24"/>
                <w:lang w:val="ro-RO"/>
              </w:rPr>
            </w:pPr>
            <w:r>
              <w:rPr>
                <w:rFonts w:hint="default" w:ascii="Calibri" w:hAnsi="Calibri" w:eastAsia="SimSun" w:cs="Calibri"/>
                <w:sz w:val="24"/>
                <w:szCs w:val="24"/>
                <w:lang w:val="ro-RO"/>
              </w:rPr>
              <w:t>Popovici, Iulia, Elefantul din cameră. Ghid despre teatrul independent din România, Idea, Cluj, 2016</w:t>
            </w:r>
          </w:p>
          <w:p w14:paraId="6D717D8A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eastAsia="SimSun" w:cs="Calibri"/>
                <w:sz w:val="24"/>
                <w:szCs w:val="24"/>
                <w:lang w:val="ro-RO"/>
              </w:rPr>
            </w:pPr>
          </w:p>
        </w:tc>
      </w:tr>
    </w:tbl>
    <w:p w14:paraId="4A2FCE69">
      <w:pPr>
        <w:rPr>
          <w:rFonts w:hint="default" w:ascii="Calibri" w:hAnsi="Calibri" w:cs="Calibri"/>
          <w:sz w:val="24"/>
          <w:szCs w:val="24"/>
        </w:rPr>
      </w:pPr>
    </w:p>
    <w:p w14:paraId="270E731B">
      <w:pPr>
        <w:spacing w:after="0" w:line="240" w:lineRule="auto"/>
        <w:ind w:left="-426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1"/>
      </w:tblGrid>
      <w:tr w14:paraId="0F05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</w:trPr>
        <w:tc>
          <w:tcPr>
            <w:tcW w:w="10491" w:type="dxa"/>
          </w:tcPr>
          <w:p w14:paraId="706287EE">
            <w:pPr>
              <w:pStyle w:val="36"/>
              <w:numPr>
                <w:ilvl w:val="0"/>
                <w:numId w:val="1"/>
              </w:numPr>
              <w:spacing w:before="120" w:after="0" w:line="240" w:lineRule="auto"/>
              <w:ind w:left="714" w:hanging="357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Conţinuturile disciplinei sunt în concorda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n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ţă 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 xml:space="preserve">atât cu așteptările comunității profesionale, cât și cu materialele predate în universitățile de profil din România </w:t>
            </w:r>
          </w:p>
        </w:tc>
      </w:tr>
    </w:tbl>
    <w:p w14:paraId="67D7FAC8">
      <w:pPr>
        <w:rPr>
          <w:rFonts w:hint="default" w:ascii="Calibri" w:hAnsi="Calibri" w:cs="Calibri"/>
          <w:sz w:val="24"/>
          <w:szCs w:val="24"/>
        </w:rPr>
      </w:pPr>
    </w:p>
    <w:p w14:paraId="63BCC77C">
      <w:pPr>
        <w:spacing w:after="0"/>
        <w:ind w:hanging="425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10. Evaluare</w:t>
      </w:r>
    </w:p>
    <w:tbl>
      <w:tblPr>
        <w:tblStyle w:val="12"/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550"/>
        <w:gridCol w:w="2409"/>
        <w:gridCol w:w="2694"/>
      </w:tblGrid>
      <w:tr w14:paraId="5BAB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839" w:type="dxa"/>
            <w:vAlign w:val="center"/>
          </w:tcPr>
          <w:p w14:paraId="5C3DD169">
            <w:pPr>
              <w:spacing w:after="0" w:line="240" w:lineRule="auto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  <w:t>Tip activitate</w:t>
            </w:r>
          </w:p>
        </w:tc>
        <w:tc>
          <w:tcPr>
            <w:tcW w:w="2550" w:type="dxa"/>
            <w:tcBorders>
              <w:bottom w:val="single" w:color="auto" w:sz="4" w:space="0"/>
            </w:tcBorders>
            <w:vAlign w:val="center"/>
          </w:tcPr>
          <w:p w14:paraId="4A97A287">
            <w:pPr>
              <w:spacing w:after="0" w:line="240" w:lineRule="auto"/>
              <w:ind w:left="46" w:right="-154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  <w:t>10.1 Criterii de evaluare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3642F8C6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24E94B4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10.3 Pondere din nota finală</w:t>
            </w:r>
          </w:p>
        </w:tc>
      </w:tr>
      <w:tr w14:paraId="4C3AA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9" w:type="dxa"/>
            <w:vMerge w:val="restart"/>
            <w:vAlign w:val="center"/>
          </w:tcPr>
          <w:p w14:paraId="5FBBD0C7">
            <w:pPr>
              <w:spacing w:after="0" w:line="240" w:lineRule="auto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  <w:t>10.4 Curs</w:t>
            </w:r>
          </w:p>
        </w:tc>
        <w:tc>
          <w:tcPr>
            <w:tcW w:w="2550" w:type="dxa"/>
            <w:vMerge w:val="restart"/>
            <w:tcBorders>
              <w:right w:val="nil"/>
            </w:tcBorders>
            <w:vAlign w:val="center"/>
          </w:tcPr>
          <w:p w14:paraId="6E712939">
            <w:pPr>
              <w:pStyle w:val="17"/>
              <w:keepNext w:val="0"/>
              <w:keepLines w:val="0"/>
              <w:widowControl/>
              <w:suppressLineNumbers w:val="0"/>
              <w:jc w:val="left"/>
              <w:rPr>
                <w:b w:val="0"/>
                <w:bCs w:val="0"/>
              </w:rPr>
            </w:pPr>
            <w:r>
              <w:rPr>
                <w:rStyle w:val="19"/>
                <w:rFonts w:hint="default"/>
                <w:b w:val="0"/>
                <w:bCs w:val="0"/>
                <w:lang w:val="ro-RO"/>
              </w:rPr>
              <w:t xml:space="preserve">- </w:t>
            </w:r>
            <w:r>
              <w:rPr>
                <w:rStyle w:val="19"/>
                <w:b w:val="0"/>
                <w:bCs w:val="0"/>
              </w:rPr>
              <w:t>Participarea activă la cursuri și seminar</w:t>
            </w:r>
            <w:r>
              <w:rPr>
                <w:rStyle w:val="19"/>
                <w:rFonts w:hint="default"/>
                <w:b w:val="0"/>
                <w:bCs w:val="0"/>
                <w:lang w:val="ro-RO"/>
              </w:rPr>
              <w:t>ii, respectiv g</w:t>
            </w:r>
            <w:r>
              <w:rPr>
                <w:b w:val="0"/>
                <w:bCs w:val="0"/>
              </w:rPr>
              <w:t>radul de implicare în discuții, dezbateri și activități aplicate;</w:t>
            </w:r>
          </w:p>
          <w:p w14:paraId="01B4C6CA">
            <w:pPr>
              <w:pStyle w:val="17"/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 w:val="0"/>
                <w:bCs w:val="0"/>
                <w:lang w:val="ro-RO"/>
              </w:rPr>
            </w:pPr>
            <w:r>
              <w:rPr>
                <w:rFonts w:hint="default"/>
                <w:b w:val="0"/>
                <w:bCs w:val="0"/>
                <w:lang w:val="ro-RO"/>
              </w:rPr>
              <w:t xml:space="preserve">- </w:t>
            </w:r>
            <w:r>
              <w:rPr>
                <w:b w:val="0"/>
                <w:bCs w:val="0"/>
              </w:rPr>
              <w:t>Capacitatea de a argumenta idei și de a lucra în echipă</w:t>
            </w:r>
            <w:r>
              <w:rPr>
                <w:rFonts w:hint="default"/>
                <w:b w:val="0"/>
                <w:bCs w:val="0"/>
                <w:lang w:val="ro-RO"/>
              </w:rPr>
              <w:t>;</w:t>
            </w:r>
          </w:p>
          <w:p w14:paraId="4C4B6258">
            <w:pPr>
              <w:pStyle w:val="17"/>
              <w:keepNext w:val="0"/>
              <w:keepLines w:val="0"/>
              <w:widowControl/>
              <w:suppressLineNumbers w:val="0"/>
              <w:jc w:val="left"/>
              <w:rPr>
                <w:rStyle w:val="19"/>
                <w:rFonts w:hint="default"/>
                <w:b w:val="0"/>
                <w:bCs w:val="0"/>
                <w:lang w:val="ro-RO"/>
              </w:rPr>
            </w:pPr>
            <w:r>
              <w:rPr>
                <w:rStyle w:val="19"/>
                <w:rFonts w:hint="default"/>
                <w:b w:val="0"/>
                <w:bCs w:val="0"/>
                <w:lang w:val="ro-RO"/>
              </w:rPr>
              <w:t xml:space="preserve">- </w:t>
            </w:r>
            <w:r>
              <w:rPr>
                <w:rStyle w:val="19"/>
                <w:b w:val="0"/>
                <w:bCs w:val="0"/>
              </w:rPr>
              <w:t>Cunoașterea și aplicarea conceptelor teoretice</w:t>
            </w:r>
            <w:r>
              <w:rPr>
                <w:rStyle w:val="19"/>
                <w:rFonts w:hint="default"/>
                <w:b w:val="0"/>
                <w:bCs w:val="0"/>
                <w:lang w:val="ro-RO"/>
              </w:rPr>
              <w:t>;</w:t>
            </w:r>
          </w:p>
          <w:p w14:paraId="6F599627">
            <w:pPr>
              <w:pStyle w:val="17"/>
              <w:keepNext w:val="0"/>
              <w:keepLines w:val="0"/>
              <w:widowControl/>
              <w:suppressLineNumbers w:val="0"/>
              <w:jc w:val="left"/>
              <w:rPr>
                <w:b w:val="0"/>
                <w:bCs w:val="0"/>
              </w:rPr>
            </w:pPr>
            <w:r>
              <w:rPr>
                <w:rStyle w:val="19"/>
                <w:rFonts w:hint="default"/>
                <w:b w:val="0"/>
                <w:bCs w:val="0"/>
                <w:lang w:val="ro-RO"/>
              </w:rPr>
              <w:t xml:space="preserve">- </w:t>
            </w:r>
            <w:r>
              <w:rPr>
                <w:b w:val="0"/>
                <w:bCs w:val="0"/>
              </w:rPr>
              <w:t>Nivelul de înțelegere a noțiunilor de management cultural, juridic și financiar;</w:t>
            </w:r>
          </w:p>
          <w:p w14:paraId="7FA9B9AC">
            <w:pPr>
              <w:pStyle w:val="17"/>
              <w:keepNext w:val="0"/>
              <w:keepLines w:val="0"/>
              <w:widowControl/>
              <w:suppressLineNumbers w:val="0"/>
              <w:jc w:val="left"/>
              <w:rPr>
                <w:b w:val="0"/>
                <w:bCs w:val="0"/>
              </w:rPr>
            </w:pPr>
            <w:r>
              <w:rPr>
                <w:rStyle w:val="19"/>
                <w:rFonts w:hint="default"/>
                <w:b w:val="0"/>
                <w:bCs w:val="0"/>
                <w:lang w:val="ro-RO"/>
              </w:rPr>
              <w:t xml:space="preserve">- </w:t>
            </w:r>
            <w:r>
              <w:rPr>
                <w:rStyle w:val="19"/>
                <w:b w:val="0"/>
                <w:bCs w:val="0"/>
              </w:rPr>
              <w:t>Elaborarea și prezentarea unui proiect de companie independentă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rStyle w:val="13"/>
                <w:b w:val="0"/>
                <w:bCs w:val="0"/>
              </w:rPr>
              <w:t>(individual)</w:t>
            </w:r>
          </w:p>
          <w:p w14:paraId="43454FEA">
            <w:pPr>
              <w:pStyle w:val="17"/>
              <w:keepNext w:val="0"/>
              <w:keepLines w:val="0"/>
              <w:widowControl/>
              <w:suppressLineNumbers w:val="0"/>
              <w:jc w:val="left"/>
              <w:rPr>
                <w:rFonts w:hint="default" w:ascii="Calibri" w:hAnsi="Calibri" w:eastAsia="Aptos" w:cs="Calibri"/>
                <w:b w:val="0"/>
                <w:bCs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Style w:val="19"/>
                <w:rFonts w:hint="default"/>
                <w:b w:val="0"/>
                <w:bCs w:val="0"/>
                <w:lang w:val="ro-RO"/>
              </w:rPr>
              <w:t xml:space="preserve">- </w:t>
            </w:r>
            <w:r>
              <w:rPr>
                <w:rStyle w:val="19"/>
                <w:b w:val="0"/>
                <w:bCs w:val="0"/>
              </w:rPr>
              <w:t>Abilități de analiză și gândire critică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41F1EA8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551793E1">
            <w:pPr>
              <w:spacing w:after="0" w:line="240" w:lineRule="auto"/>
              <w:rPr>
                <w:rFonts w:hint="default" w:ascii="Calibri" w:hAnsi="Calibri" w:eastAsia="Aptos" w:cs="Calibri"/>
                <w:sz w:val="24"/>
                <w:szCs w:val="24"/>
              </w:rPr>
            </w:pPr>
            <w:r>
              <w:rPr>
                <w:rFonts w:hint="default" w:ascii="Calibri" w:hAnsi="Calibri" w:eastAsia="Aptos" w:cs="Calibri"/>
                <w:sz w:val="24"/>
                <w:szCs w:val="24"/>
              </w:rPr>
              <w:t>Participare și prezență activă. Calitatea propunerilor.</w:t>
            </w:r>
          </w:p>
          <w:p w14:paraId="52294554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36A6B9C8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left w:val="nil"/>
            </w:tcBorders>
            <w:vAlign w:val="center"/>
          </w:tcPr>
          <w:p w14:paraId="2E136E40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50</w:t>
            </w:r>
            <w:r>
              <w:rPr>
                <w:rFonts w:hint="default" w:ascii="Calibri" w:hAnsi="Calibri" w:cs="Calibri"/>
                <w:sz w:val="24"/>
                <w:szCs w:val="24"/>
              </w:rPr>
              <w:t>%</w:t>
            </w:r>
          </w:p>
        </w:tc>
      </w:tr>
      <w:tr w14:paraId="12D3B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839" w:type="dxa"/>
            <w:vMerge w:val="restart"/>
            <w:vAlign w:val="center"/>
          </w:tcPr>
          <w:p w14:paraId="1CB2BB39">
            <w:pPr>
              <w:spacing w:after="0" w:line="240" w:lineRule="auto"/>
              <w:ind w:right="-150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  <w:t>10.5 Seminar/laborator</w:t>
            </w:r>
          </w:p>
        </w:tc>
        <w:tc>
          <w:tcPr>
            <w:tcW w:w="2550" w:type="dxa"/>
            <w:vMerge w:val="continue"/>
            <w:vAlign w:val="center"/>
          </w:tcPr>
          <w:p w14:paraId="0FC532A8">
            <w:pPr>
              <w:spacing w:after="0" w:line="240" w:lineRule="auto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9" w:type="dxa"/>
            <w:vMerge w:val="continue"/>
            <w:tcBorders>
              <w:left w:val="nil"/>
              <w:right w:val="nil"/>
            </w:tcBorders>
            <w:vAlign w:val="center"/>
          </w:tcPr>
          <w:p w14:paraId="1B350C4F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vMerge w:val="continue"/>
            <w:tcBorders>
              <w:left w:val="nil"/>
            </w:tcBorders>
            <w:vAlign w:val="center"/>
          </w:tcPr>
          <w:p w14:paraId="5D25EBCB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10005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839" w:type="dxa"/>
            <w:vMerge w:val="continue"/>
            <w:vAlign w:val="center"/>
          </w:tcPr>
          <w:p w14:paraId="5EB98501">
            <w:pPr>
              <w:spacing w:after="0" w:line="240" w:lineRule="auto"/>
              <w:ind w:right="-150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0" w:type="dxa"/>
            <w:vMerge w:val="continue"/>
            <w:tcBorders>
              <w:bottom w:val="single" w:color="auto" w:sz="4" w:space="0"/>
            </w:tcBorders>
            <w:vAlign w:val="center"/>
          </w:tcPr>
          <w:p w14:paraId="0E3061B1">
            <w:pPr>
              <w:spacing w:after="0" w:line="240" w:lineRule="auto"/>
              <w:rPr>
                <w:rFonts w:hint="default" w:ascii="Calibri" w:hAnsi="Calibri" w:cs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C246007">
            <w:pPr>
              <w:pStyle w:val="17"/>
              <w:keepNext w:val="0"/>
              <w:keepLines w:val="0"/>
              <w:widowControl/>
              <w:suppressLineNumbers w:val="0"/>
              <w:jc w:val="both"/>
              <w:rPr>
                <w:b/>
                <w:bCs/>
              </w:rPr>
            </w:pPr>
            <w:r>
              <w:rPr>
                <w:rFonts w:hint="default" w:ascii="Calibri" w:hAnsi="Calibri" w:cs="Calibri"/>
                <w:b/>
                <w:bCs/>
                <w:sz w:val="24"/>
                <w:szCs w:val="24"/>
              </w:rPr>
              <w:t xml:space="preserve">Examenul va consta </w:t>
            </w:r>
            <w:r>
              <w:rPr>
                <w:rFonts w:hint="default" w:ascii="Calibri" w:hAnsi="Calibri" w:cs="Calibri"/>
                <w:b/>
                <w:bCs/>
                <w:sz w:val="24"/>
                <w:szCs w:val="24"/>
                <w:lang w:val="ro-RO"/>
              </w:rPr>
              <w:t>în e</w:t>
            </w:r>
            <w:r>
              <w:rPr>
                <w:rStyle w:val="19"/>
                <w:b/>
                <w:bCs/>
              </w:rPr>
              <w:t>laborarea și prezentarea unui proiect de companie independentă</w:t>
            </w:r>
            <w:r>
              <w:rPr>
                <w:b/>
                <w:bCs/>
              </w:rPr>
              <w:t xml:space="preserve"> </w:t>
            </w:r>
            <w:r>
              <w:rPr>
                <w:rStyle w:val="13"/>
                <w:b/>
                <w:bCs/>
              </w:rPr>
              <w:t>(individual)</w:t>
            </w:r>
          </w:p>
          <w:p w14:paraId="7BB45AEA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71206D1C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406B2A7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5</w:t>
            </w:r>
            <w:r>
              <w:rPr>
                <w:rFonts w:hint="default" w:ascii="Calibri" w:hAnsi="Calibri" w:cs="Calibri"/>
                <w:sz w:val="24"/>
                <w:szCs w:val="24"/>
              </w:rPr>
              <w:t>0%</w:t>
            </w:r>
          </w:p>
        </w:tc>
      </w:tr>
      <w:tr w14:paraId="0739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2" w:type="dxa"/>
            <w:gridSpan w:val="4"/>
            <w:vAlign w:val="center"/>
          </w:tcPr>
          <w:p w14:paraId="792E7B33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10.6 Standard minim de performanță</w:t>
            </w:r>
          </w:p>
        </w:tc>
      </w:tr>
      <w:tr w14:paraId="7039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2" w:type="dxa"/>
            <w:gridSpan w:val="4"/>
          </w:tcPr>
          <w:p w14:paraId="4F30A4D6">
            <w:pPr>
              <w:pStyle w:val="1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4E900483">
            <w:pPr>
              <w:pStyle w:val="1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Def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i</w:t>
            </w:r>
            <w:r>
              <w:rPr>
                <w:rFonts w:hint="default" w:ascii="Calibri" w:hAnsi="Calibri" w:cs="Calibri"/>
                <w:sz w:val="24"/>
                <w:szCs w:val="24"/>
              </w:rPr>
              <w:t>nirea conceptului de „companie independentă” în domeniul cultural</w:t>
            </w:r>
          </w:p>
          <w:p w14:paraId="34FA92D9">
            <w:pPr>
              <w:pStyle w:val="17"/>
              <w:keepNext w:val="0"/>
              <w:keepLines w:val="0"/>
              <w:widowControl/>
              <w:suppressLineNumbers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Diferențe față de instituțiile publice de cultură</w:t>
            </w:r>
          </w:p>
          <w:p w14:paraId="43E7CA7B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Tipuri de structuri independente: ONG, SRL, SA, PFA etc.</w:t>
            </w:r>
          </w:p>
          <w:p w14:paraId="4C87DE72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136DA404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</w:tbl>
    <w:p w14:paraId="7ABE365E">
      <w:pPr>
        <w:rPr>
          <w:rFonts w:hint="default" w:ascii="Calibri" w:hAnsi="Calibri" w:cs="Calibri"/>
          <w:sz w:val="24"/>
          <w:szCs w:val="24"/>
        </w:rPr>
      </w:pPr>
    </w:p>
    <w:p w14:paraId="6E38A5F6">
      <w:pPr>
        <w:rPr>
          <w:rFonts w:hint="default" w:ascii="Calibri" w:hAnsi="Calibri" w:cs="Calibri"/>
          <w:sz w:val="24"/>
          <w:szCs w:val="24"/>
        </w:rPr>
      </w:pPr>
    </w:p>
    <w:p w14:paraId="0E43CB47">
      <w:pPr>
        <w:spacing w:after="0"/>
        <w:ind w:hanging="425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11. Etichete ODD (Obiective de Dezvoltare Durabilă / Sustainable Development Goals)</w:t>
      </w:r>
      <w:r>
        <w:rPr>
          <w:rStyle w:val="14"/>
          <w:rFonts w:hint="default" w:ascii="Calibri" w:hAnsi="Calibri" w:cs="Calibri"/>
          <w:b/>
          <w:sz w:val="24"/>
          <w:szCs w:val="24"/>
        </w:rPr>
        <w:footnoteReference w:id="0"/>
      </w:r>
    </w:p>
    <w:tbl>
      <w:tblPr>
        <w:tblStyle w:val="21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14:paraId="0E60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165" w:type="dxa"/>
            <w:vAlign w:val="center"/>
          </w:tcPr>
          <w:p w14:paraId="59DA0E7A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1D6A3431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Eticheta generală pentru Dezvoltare durabilă</w:t>
            </w:r>
          </w:p>
        </w:tc>
      </w:tr>
      <w:tr w14:paraId="69257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165" w:type="dxa"/>
            <w:vAlign w:val="center"/>
          </w:tcPr>
          <w:p w14:paraId="38B3FDDC">
            <w:pPr>
              <w:spacing w:after="0" w:line="240" w:lineRule="auto"/>
              <w:ind w:right="-537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4520" cy="611505"/>
                  <wp:effectExtent l="0" t="0" r="5080" b="0"/>
                  <wp:docPr id="4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EC1A7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2F8109C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5630" cy="611505"/>
                  <wp:effectExtent l="0" t="0" r="0" b="0"/>
                  <wp:docPr id="14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1A23512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0710" cy="611505"/>
                  <wp:effectExtent l="0" t="0" r="8890" b="0"/>
                  <wp:docPr id="15" name="Imagine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DACBE1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3725" cy="611505"/>
                  <wp:effectExtent l="0" t="0" r="0" b="0"/>
                  <wp:docPr id="16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2CC5680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41F2538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6900" cy="611505"/>
                  <wp:effectExtent l="0" t="0" r="0" b="0"/>
                  <wp:docPr id="18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9E3C271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A74596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A67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165" w:type="dxa"/>
            <w:vAlign w:val="center"/>
          </w:tcPr>
          <w:p w14:paraId="5C8D49F4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35AF15B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2E9F01F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3ADBAB7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1345" cy="611505"/>
                  <wp:effectExtent l="0" t="0" r="8255" b="0"/>
                  <wp:docPr id="8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AE0D612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0075" cy="611505"/>
                  <wp:effectExtent l="0" t="0" r="9525" b="0"/>
                  <wp:docPr id="9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815756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7535" cy="611505"/>
                  <wp:effectExtent l="0" t="0" r="0" b="0"/>
                  <wp:docPr id="10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3008689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13410" cy="611505"/>
                  <wp:effectExtent l="0" t="0" r="0" b="0"/>
                  <wp:docPr id="33" name="Imagine 3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6361F33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6900" cy="611505"/>
                  <wp:effectExtent l="0" t="0" r="0" b="0"/>
                  <wp:docPr id="35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578A71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</w:tbl>
    <w:p w14:paraId="0D0293D3">
      <w:pPr>
        <w:rPr>
          <w:rFonts w:hint="default" w:ascii="Calibri" w:hAnsi="Calibri" w:cs="Calibri"/>
          <w:sz w:val="24"/>
          <w:szCs w:val="24"/>
        </w:rPr>
      </w:pPr>
    </w:p>
    <w:p w14:paraId="36EDCDCF">
      <w:pPr>
        <w:rPr>
          <w:rFonts w:hint="default" w:ascii="Calibri" w:hAnsi="Calibri" w:cs="Calibri"/>
          <w:sz w:val="24"/>
          <w:szCs w:val="24"/>
        </w:rPr>
      </w:pPr>
    </w:p>
    <w:p w14:paraId="5BFD54F7">
      <w:pPr>
        <w:rPr>
          <w:rFonts w:hint="default" w:ascii="Calibri" w:hAnsi="Calibri" w:cs="Calibri"/>
          <w:sz w:val="24"/>
          <w:szCs w:val="24"/>
        </w:rPr>
      </w:pPr>
    </w:p>
    <w:tbl>
      <w:tblPr>
        <w:tblStyle w:val="21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2835"/>
        <w:gridCol w:w="1134"/>
        <w:gridCol w:w="3969"/>
      </w:tblGrid>
      <w:tr w14:paraId="2D60C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2553" w:type="dxa"/>
          </w:tcPr>
          <w:p w14:paraId="20B16E9C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Data completării:</w:t>
            </w:r>
          </w:p>
          <w:p w14:paraId="51ED1935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0FECEB7C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Semnătura titularului de curs</w:t>
            </w:r>
          </w:p>
          <w:p w14:paraId="0F12B6BD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5BF91719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Semnătura titularului de seminar</w:t>
            </w:r>
          </w:p>
          <w:p w14:paraId="7DF7FAE3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.....................</w:t>
            </w:r>
          </w:p>
        </w:tc>
      </w:tr>
      <w:tr w14:paraId="19EA7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553" w:type="dxa"/>
            <w:vAlign w:val="center"/>
          </w:tcPr>
          <w:p w14:paraId="7540C513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0D561F0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  <w:tc>
          <w:tcPr>
            <w:tcW w:w="3969" w:type="dxa"/>
            <w:vAlign w:val="center"/>
          </w:tcPr>
          <w:p w14:paraId="251B0DBB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14:paraId="7B67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388" w:type="dxa"/>
            <w:gridSpan w:val="2"/>
          </w:tcPr>
          <w:p w14:paraId="528D13CE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Data avizării în departament:</w:t>
            </w:r>
          </w:p>
          <w:p w14:paraId="093DB8EE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</w:t>
            </w:r>
          </w:p>
          <w:p w14:paraId="1FEC35F0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  <w:p w14:paraId="43DE09DC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382D1650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Semnătura directorului de departament</w:t>
            </w:r>
          </w:p>
          <w:p w14:paraId="34BDC94A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.....................</w:t>
            </w:r>
          </w:p>
          <w:p w14:paraId="6FDFE7A2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  <w:p w14:paraId="7BC62430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</w:tbl>
    <w:p w14:paraId="44FB69E9">
      <w:pPr>
        <w:rPr>
          <w:rFonts w:hint="default" w:ascii="Calibri" w:hAnsi="Calibri" w:cs="Calibri"/>
          <w:sz w:val="24"/>
          <w:szCs w:val="24"/>
        </w:rPr>
      </w:pPr>
    </w:p>
    <w:sectPr>
      <w:pgSz w:w="11907" w:h="16840"/>
      <w:pgMar w:top="426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8" w:lineRule="auto"/>
      </w:pPr>
      <w:r>
        <w:separator/>
      </w:r>
    </w:p>
  </w:footnote>
  <w:footnote w:type="continuationSeparator" w:id="3">
    <w:p>
      <w:pPr>
        <w:spacing w:before="0" w:after="0" w:line="278" w:lineRule="auto"/>
      </w:pPr>
      <w:r>
        <w:continuationSeparator/>
      </w:r>
    </w:p>
  </w:footnote>
  <w:footnote w:id="0">
    <w:p w14:paraId="5235BB64">
      <w:pPr>
        <w:pStyle w:val="15"/>
        <w:jc w:val="both"/>
        <w:rPr>
          <w:rFonts w:ascii="Cambria" w:hAnsi="Cambria"/>
        </w:rPr>
      </w:pPr>
      <w:r>
        <w:rPr>
          <w:rStyle w:val="14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r>
        <w:fldChar w:fldCharType="begin"/>
      </w:r>
      <w:r>
        <w:instrText xml:space="preserve"> HYPERLINK "https://green.ubbcluj.ro/procedura-de-aplicare-a-etichetelor-odd/" </w:instrText>
      </w:r>
      <w:r>
        <w:fldChar w:fldCharType="separate"/>
      </w:r>
      <w:r>
        <w:rPr>
          <w:rStyle w:val="16"/>
          <w:rFonts w:ascii="Cambria" w:hAnsi="Cambria"/>
          <w:i/>
          <w:iCs/>
        </w:rPr>
        <w:t>Procedura de aplicare a etichetelor ODD în procesul academic</w:t>
      </w:r>
      <w:r>
        <w:rPr>
          <w:rStyle w:val="16"/>
          <w:rFonts w:ascii="Cambria" w:hAnsi="Cambria"/>
          <w:i/>
          <w:iCs/>
        </w:rPr>
        <w:fldChar w:fldCharType="end"/>
      </w:r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7E710E"/>
    <w:multiLevelType w:val="multilevel"/>
    <w:tmpl w:val="707E710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0"/>
  <w:bordersDoNotSurroundFooter w:val="0"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2"/>
    <w:footnote w:id="3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81A"/>
    <w:rsid w:val="00011141"/>
    <w:rsid w:val="00024A00"/>
    <w:rsid w:val="00035F4F"/>
    <w:rsid w:val="00036059"/>
    <w:rsid w:val="000B08E2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0164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B794E"/>
    <w:rsid w:val="002C2A67"/>
    <w:rsid w:val="002D19B2"/>
    <w:rsid w:val="002D5FCA"/>
    <w:rsid w:val="002E2D93"/>
    <w:rsid w:val="002E4459"/>
    <w:rsid w:val="00301E97"/>
    <w:rsid w:val="003466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321CD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1798E"/>
    <w:rsid w:val="00632190"/>
    <w:rsid w:val="00687EE7"/>
    <w:rsid w:val="00694E26"/>
    <w:rsid w:val="006A3DD3"/>
    <w:rsid w:val="006B2EAE"/>
    <w:rsid w:val="006B6ABF"/>
    <w:rsid w:val="006D648A"/>
    <w:rsid w:val="006E276B"/>
    <w:rsid w:val="006E60C9"/>
    <w:rsid w:val="006F32EA"/>
    <w:rsid w:val="00706E3A"/>
    <w:rsid w:val="007342EF"/>
    <w:rsid w:val="0074223A"/>
    <w:rsid w:val="007526F3"/>
    <w:rsid w:val="007566DE"/>
    <w:rsid w:val="007929EA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04FE8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AB70B2"/>
    <w:rsid w:val="00AE2358"/>
    <w:rsid w:val="00B417DB"/>
    <w:rsid w:val="00BA5F7F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A4540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E456F"/>
    <w:rsid w:val="00EF1903"/>
    <w:rsid w:val="00EF2D25"/>
    <w:rsid w:val="00F01F2B"/>
    <w:rsid w:val="00F21FB8"/>
    <w:rsid w:val="00F52A38"/>
    <w:rsid w:val="00F5433D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1C42794"/>
    <w:rsid w:val="081A7B74"/>
    <w:rsid w:val="0870644E"/>
    <w:rsid w:val="10929FD2"/>
    <w:rsid w:val="2166588C"/>
    <w:rsid w:val="21990BE9"/>
    <w:rsid w:val="22D9017C"/>
    <w:rsid w:val="2DFF1E4E"/>
    <w:rsid w:val="2FAD3050"/>
    <w:rsid w:val="3C8B5822"/>
    <w:rsid w:val="47543D6C"/>
    <w:rsid w:val="4CC386AB"/>
    <w:rsid w:val="549F7AC6"/>
    <w:rsid w:val="5B44A9F5"/>
    <w:rsid w:val="7310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o-RO" w:eastAsia="en-US" w:bidi="ar-SA"/>
      <w14:ligatures w14:val="standardContextual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footnote reference"/>
    <w:semiHidden/>
    <w:unhideWhenUsed/>
    <w:qFormat/>
    <w:uiPriority w:val="99"/>
    <w:rPr>
      <w:vertAlign w:val="superscript"/>
    </w:rPr>
  </w:style>
  <w:style w:type="paragraph" w:styleId="15">
    <w:name w:val="footnote text"/>
    <w:basedOn w:val="1"/>
    <w:link w:val="41"/>
    <w:semiHidden/>
    <w:unhideWhenUsed/>
    <w:qFormat/>
    <w:uiPriority w:val="99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16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18">
    <w:name w:val="page number"/>
    <w:qFormat/>
    <w:uiPriority w:val="0"/>
    <w:rPr>
      <w:color w:val="000000"/>
    </w:rPr>
  </w:style>
  <w:style w:type="character" w:styleId="19">
    <w:name w:val="Strong"/>
    <w:basedOn w:val="11"/>
    <w:qFormat/>
    <w:uiPriority w:val="22"/>
    <w:rPr>
      <w:b/>
      <w:bCs/>
    </w:rPr>
  </w:style>
  <w:style w:type="paragraph" w:styleId="20">
    <w:name w:val="Subtitle"/>
    <w:basedOn w:val="1"/>
    <w:next w:val="1"/>
    <w:link w:val="3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1">
    <w:name w:val="Table Grid"/>
    <w:basedOn w:val="12"/>
    <w:qFormat/>
    <w:uiPriority w:val="99"/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2">
    <w:name w:val="Title"/>
    <w:basedOn w:val="1"/>
    <w:next w:val="1"/>
    <w:link w:val="32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3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4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5">
    <w:name w:val="Heading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6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7">
    <w:name w:val="Heading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8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1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2">
    <w:name w:val="Title Char"/>
    <w:basedOn w:val="11"/>
    <w:link w:val="2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Subtitle Char"/>
    <w:basedOn w:val="11"/>
    <w:link w:val="20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Quote Char"/>
    <w:basedOn w:val="11"/>
    <w:link w:val="34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character" w:customStyle="1" w:styleId="37">
    <w:name w:val="Intense Emphasis1"/>
    <w:basedOn w:val="11"/>
    <w:qFormat/>
    <w:uiPriority w:val="21"/>
    <w:rPr>
      <w:i/>
      <w:iCs/>
      <w:color w:val="104862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9">
    <w:name w:val="Intense Quote Char"/>
    <w:basedOn w:val="11"/>
    <w:link w:val="38"/>
    <w:qFormat/>
    <w:uiPriority w:val="30"/>
    <w:rPr>
      <w:i/>
      <w:iCs/>
      <w:color w:val="104862" w:themeColor="accent1" w:themeShade="BF"/>
    </w:rPr>
  </w:style>
  <w:style w:type="character" w:customStyle="1" w:styleId="40">
    <w:name w:val="Intense Reference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1">
    <w:name w:val="Footnote Text Char"/>
    <w:basedOn w:val="11"/>
    <w:link w:val="15"/>
    <w:semiHidden/>
    <w:qFormat/>
    <w:uiPriority w:val="99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customStyle="1" w:styleId="42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3">
    <w:name w:val="15"/>
    <w:basedOn w:val="11"/>
    <w:qFormat/>
    <w:uiPriority w:val="0"/>
    <w:rPr>
      <w:rFonts w:hint="default" w:ascii="Calibri Light" w:hAnsi="Calibri Light" w:eastAsia="SimSun" w:cs="Times New Roman"/>
      <w:color w:val="2E75B5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4.xml"/><Relationship Id="rId27" Type="http://schemas.openxmlformats.org/officeDocument/2006/relationships/customXml" Target="../customXml/item3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numbering" Target="numbering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/>
</ds:datastoreItem>
</file>

<file path=customXml/itemProps2.xml><?xml version="1.0" encoding="utf-8"?>
<ds:datastoreItem xmlns:ds="http://schemas.openxmlformats.org/officeDocument/2006/customXml" ds:itemID="{E4D0E14E-8BE7-42CA-AB5D-3494E3BDC854}">
  <ds:schemaRefs/>
</ds:datastoreItem>
</file>

<file path=customXml/itemProps3.xml><?xml version="1.0" encoding="utf-8"?>
<ds:datastoreItem xmlns:ds="http://schemas.openxmlformats.org/officeDocument/2006/customXml" ds:itemID="{D5751E07-FEA2-452A-9F67-9A6A692647F4}">
  <ds:schemaRefs/>
</ds:datastoreItem>
</file>

<file path=customXml/itemProps4.xml><?xml version="1.0" encoding="utf-8"?>
<ds:datastoreItem xmlns:ds="http://schemas.openxmlformats.org/officeDocument/2006/customXml" ds:itemID="{2D134041-7EDD-4DAA-B29F-5F05AF5EE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1373</Words>
  <Characters>8767</Characters>
  <Lines>398</Lines>
  <Paragraphs>241</Paragraphs>
  <TotalTime>136</TotalTime>
  <ScaleCrop>false</ScaleCrop>
  <LinksUpToDate>false</LinksUpToDate>
  <CharactersWithSpaces>9899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diana</cp:lastModifiedBy>
  <cp:revision>156</cp:revision>
  <dcterms:created xsi:type="dcterms:W3CDTF">2024-11-08T09:11:00Z</dcterms:created>
  <dcterms:modified xsi:type="dcterms:W3CDTF">2025-10-21T09:47:03Z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KSOProductBuildVer">
    <vt:lpwstr>2057-12.2.0.23131</vt:lpwstr>
  </property>
  <property fmtid="{D5CDD505-2E9C-101B-9397-08002B2CF9AE}" pid="4" name="ICV">
    <vt:lpwstr>977A34B4C9D64960A4FF9FB327BC0D9A_13</vt:lpwstr>
  </property>
  <property fmtid="{D5CDD505-2E9C-101B-9397-08002B2CF9AE}" pid="5" name="GrammarlyDocumentId">
    <vt:lpwstr>c0ae7bae-b998-49cb-845b-77bfb70252e7</vt:lpwstr>
  </property>
</Properties>
</file>